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729B" w14:textId="5B8CBE88"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633356">
        <w:rPr>
          <w:rFonts w:ascii="Arial" w:eastAsia="SimSun" w:hAnsi="Arial"/>
          <w:b/>
          <w:sz w:val="22"/>
          <w:szCs w:val="22"/>
          <w:lang w:eastAsia="zh-CN"/>
        </w:rPr>
        <w:t>8</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FF5FD9">
        <w:rPr>
          <w:rFonts w:ascii="Arial" w:eastAsia="SimSun" w:hAnsi="Arial"/>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CD671E">
        <w:rPr>
          <w:rFonts w:ascii="Arial" w:eastAsia="SimSun" w:hAnsi="Arial"/>
          <w:b/>
          <w:sz w:val="22"/>
          <w:szCs w:val="22"/>
          <w:lang w:eastAsia="zh-CN"/>
        </w:rPr>
        <w:t>R2-241</w:t>
      </w:r>
      <w:r w:rsidR="00F45C4E">
        <w:rPr>
          <w:rFonts w:ascii="Arial" w:eastAsia="SimSun" w:hAnsi="Arial"/>
          <w:b/>
          <w:sz w:val="22"/>
          <w:szCs w:val="22"/>
          <w:lang w:eastAsia="zh-CN"/>
        </w:rPr>
        <w:t>1</w:t>
      </w:r>
      <w:r w:rsidR="007C3D3B">
        <w:rPr>
          <w:rFonts w:ascii="Arial" w:eastAsia="SimSun" w:hAnsi="Arial"/>
          <w:b/>
          <w:sz w:val="22"/>
          <w:szCs w:val="22"/>
          <w:lang w:eastAsia="zh-CN"/>
        </w:rPr>
        <w:t>219</w:t>
      </w:r>
    </w:p>
    <w:p w14:paraId="5BADB2B1" w14:textId="1A663EF9" w:rsidR="00271BF9" w:rsidRDefault="00633356" w:rsidP="00271BF9">
      <w:pPr>
        <w:pStyle w:val="3GPPHeader"/>
        <w:spacing w:after="0"/>
        <w:rPr>
          <w:rFonts w:ascii="Arial" w:eastAsiaTheme="minorEastAsia" w:hAnsi="Arial" w:cstheme="minorBidi"/>
          <w:sz w:val="22"/>
          <w:szCs w:val="22"/>
          <w:lang w:val="en-GB" w:eastAsia="zh-CN"/>
        </w:rPr>
      </w:pPr>
      <w:r w:rsidRPr="00633356">
        <w:rPr>
          <w:rFonts w:ascii="Arial" w:eastAsiaTheme="minorEastAsia" w:hAnsi="Arial" w:cstheme="minorBidi"/>
          <w:sz w:val="22"/>
          <w:szCs w:val="22"/>
          <w:lang w:val="en-GB" w:eastAsia="zh-CN"/>
        </w:rPr>
        <w:t>Orlando, USA, 18th - 22nd November 2024</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405FA954" w:rsidR="007964A2" w:rsidRPr="004307D9" w:rsidRDefault="007964A2" w:rsidP="004307D9">
      <w:pPr>
        <w:pStyle w:val="Title"/>
        <w:spacing w:before="120"/>
        <w:rPr>
          <w:lang w:eastAsia="zh-CN"/>
        </w:rPr>
      </w:pPr>
      <w:r w:rsidRPr="004307D9">
        <w:t>Title:</w:t>
      </w:r>
      <w:r w:rsidRPr="004307D9">
        <w:tab/>
      </w:r>
      <w:r w:rsidR="001E6B27" w:rsidRPr="001E6B27">
        <w:rPr>
          <w:lang w:eastAsia="zh-CN"/>
        </w:rPr>
        <w:t xml:space="preserve">LS on </w:t>
      </w:r>
      <w:r w:rsidR="00BD625F">
        <w:rPr>
          <w:lang w:eastAsia="zh-CN"/>
        </w:rPr>
        <w:t>LTM UE capabilities for cross-band operation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0DF8A5B6" w:rsidR="004307D9" w:rsidRPr="004307D9" w:rsidRDefault="004307D9" w:rsidP="004307D9">
      <w:pPr>
        <w:pStyle w:val="Title"/>
        <w:spacing w:before="120"/>
        <w:rPr>
          <w:lang w:eastAsia="zh-CN"/>
        </w:rPr>
      </w:pPr>
      <w:r>
        <w:t>Release:</w:t>
      </w:r>
      <w:r>
        <w:tab/>
      </w:r>
      <w:r w:rsidRPr="004307D9">
        <w:t>Release 1</w:t>
      </w:r>
      <w:r w:rsidR="00BD625F">
        <w:rPr>
          <w:lang w:eastAsia="zh-CN"/>
        </w:rPr>
        <w:t>8</w:t>
      </w:r>
    </w:p>
    <w:p w14:paraId="461CF7C4" w14:textId="08B627BE" w:rsidR="004307D9" w:rsidRDefault="004307D9" w:rsidP="004307D9">
      <w:pPr>
        <w:pStyle w:val="Title"/>
        <w:spacing w:before="120"/>
        <w:rPr>
          <w:lang w:eastAsia="zh-CN"/>
        </w:rPr>
      </w:pPr>
      <w:r>
        <w:t>Work Item:</w:t>
      </w:r>
      <w:r>
        <w:tab/>
      </w:r>
      <w:r w:rsidR="00DB7D44" w:rsidRPr="00DB7D44">
        <w:rPr>
          <w:lang w:eastAsia="zh-CN"/>
        </w:rPr>
        <w:t>NR_Mob_enh2-Core</w:t>
      </w:r>
    </w:p>
    <w:p w14:paraId="6059EC3F" w14:textId="77777777" w:rsidR="004307D9" w:rsidRDefault="004307D9" w:rsidP="004307D9">
      <w:pPr>
        <w:spacing w:after="60"/>
        <w:ind w:left="1985" w:hanging="1985"/>
        <w:rPr>
          <w:rFonts w:ascii="Arial" w:hAnsi="Arial" w:cs="Arial"/>
          <w:b/>
        </w:rPr>
      </w:pPr>
    </w:p>
    <w:p w14:paraId="74C9291D" w14:textId="0913C30C" w:rsidR="004307D9" w:rsidRDefault="004307D9" w:rsidP="004307D9">
      <w:pPr>
        <w:pStyle w:val="Source"/>
        <w:rPr>
          <w:b w:val="0"/>
          <w:lang w:eastAsia="zh-CN"/>
        </w:rPr>
      </w:pPr>
      <w:r>
        <w:t>Source:</w:t>
      </w:r>
      <w:r>
        <w:tab/>
      </w:r>
      <w:r w:rsidR="00F45C4E">
        <w:t>RAN2</w:t>
      </w:r>
    </w:p>
    <w:p w14:paraId="643B43E1" w14:textId="5A3FD7AB" w:rsidR="004307D9" w:rsidRDefault="004307D9" w:rsidP="004307D9">
      <w:pPr>
        <w:pStyle w:val="Source"/>
        <w:rPr>
          <w:lang w:val="fr-FR" w:eastAsia="zh-CN"/>
        </w:rPr>
      </w:pPr>
      <w:proofErr w:type="gramStart"/>
      <w:r>
        <w:rPr>
          <w:lang w:val="fr-FR"/>
        </w:rPr>
        <w:t>To:</w:t>
      </w:r>
      <w:proofErr w:type="gramEnd"/>
      <w:r>
        <w:rPr>
          <w:lang w:val="fr-FR"/>
        </w:rPr>
        <w:tab/>
      </w:r>
      <w:r w:rsidR="00A44785">
        <w:rPr>
          <w:rFonts w:hint="eastAsia"/>
          <w:lang w:val="fr-FR" w:eastAsia="zh-CN"/>
        </w:rPr>
        <w:t>RAN</w:t>
      </w:r>
      <w:r w:rsidR="00DB7D44">
        <w:rPr>
          <w:lang w:val="fr-FR" w:eastAsia="zh-CN"/>
        </w:rPr>
        <w:t>1</w:t>
      </w:r>
    </w:p>
    <w:p w14:paraId="50A802CD" w14:textId="0BBD676C" w:rsidR="004307D9" w:rsidRDefault="004307D9" w:rsidP="004307D9">
      <w:pPr>
        <w:pStyle w:val="Source"/>
        <w:rPr>
          <w:lang w:val="fr-FR" w:eastAsia="zh-CN"/>
        </w:rPr>
      </w:pPr>
      <w:proofErr w:type="gramStart"/>
      <w:r>
        <w:rPr>
          <w:lang w:val="fr-FR"/>
        </w:rPr>
        <w:t>Cc:</w:t>
      </w:r>
      <w:proofErr w:type="gramEnd"/>
      <w:r>
        <w:rPr>
          <w:lang w:val="fr-FR"/>
        </w:rPr>
        <w:tab/>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6888E319" w:rsidR="004307D9" w:rsidRDefault="004307D9" w:rsidP="004307D9">
      <w:pPr>
        <w:pStyle w:val="Contact"/>
        <w:tabs>
          <w:tab w:val="clear" w:pos="2268"/>
        </w:tabs>
        <w:rPr>
          <w:bCs/>
          <w:lang w:eastAsia="zh-CN"/>
        </w:rPr>
      </w:pPr>
      <w:r>
        <w:t>Name:</w:t>
      </w:r>
      <w:r>
        <w:rPr>
          <w:bCs/>
        </w:rPr>
        <w:tab/>
      </w:r>
      <w:r w:rsidR="005103E6">
        <w:rPr>
          <w:bCs/>
          <w:lang w:eastAsia="zh-CN"/>
        </w:rPr>
        <w:t>Bharat Shrestha</w:t>
      </w:r>
    </w:p>
    <w:p w14:paraId="3F688461" w14:textId="75EAC353"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26224C" w:rsidRPr="007025FE">
          <w:rPr>
            <w:rStyle w:val="Hyperlink"/>
            <w:bCs/>
            <w:lang w:eastAsia="zh-CN"/>
          </w:rPr>
          <w:t>bshresth</w:t>
        </w:r>
        <w:r w:rsidR="0026224C" w:rsidRPr="007025FE">
          <w:rPr>
            <w:rStyle w:val="Hyperlink"/>
            <w:rFonts w:hint="eastAsia"/>
            <w:bCs/>
            <w:lang w:eastAsia="zh-CN"/>
          </w:rPr>
          <w:t>@</w:t>
        </w:r>
        <w:r w:rsidR="0026224C" w:rsidRPr="007025FE">
          <w:rPr>
            <w:rStyle w:val="Hyperlink"/>
            <w:bCs/>
            <w:lang w:eastAsia="zh-CN"/>
          </w:rPr>
          <w:t>qti.qualcomm.com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77777777" w:rsidR="00D008EA" w:rsidRPr="00D008EA" w:rsidRDefault="00D008EA" w:rsidP="00D008EA">
      <w:pPr>
        <w:jc w:val="both"/>
        <w:rPr>
          <w:rFonts w:ascii="Arial" w:hAnsi="Arial" w:cs="Arial"/>
        </w:rPr>
      </w:pPr>
      <w:bookmarkStart w:id="1" w:name="OLE_LINK1"/>
      <w:bookmarkStart w:id="2" w:name="OLE_LINK3"/>
      <w:r w:rsidRPr="00D008EA">
        <w:rPr>
          <w:rFonts w:ascii="Arial" w:hAnsi="Arial" w:cs="Arial"/>
        </w:rPr>
        <w:t>RAN2 discussed the potential confusion on configuration based on per band LTM UE capabilities for cross-band LTM switch operation. It remains unclear whether the band indicated for a capability refers to the source band or the target band.</w:t>
      </w:r>
    </w:p>
    <w:p w14:paraId="67E62DC5" w14:textId="6C2F6E68" w:rsidR="00D008EA" w:rsidRDefault="00D008EA" w:rsidP="00D008EA">
      <w:pPr>
        <w:jc w:val="both"/>
        <w:rPr>
          <w:rFonts w:ascii="Arial" w:hAnsi="Arial" w:cs="Arial"/>
        </w:rPr>
      </w:pPr>
      <w:r w:rsidRPr="00D008EA">
        <w:rPr>
          <w:rFonts w:ascii="Arial" w:hAnsi="Arial" w:cs="Arial"/>
        </w:rPr>
        <w:t>Even for some per-band LTM UE capabilities, the UE can indicate supported value of the parameter differently for different band</w:t>
      </w:r>
      <w:r w:rsidR="00815C91">
        <w:rPr>
          <w:rFonts w:ascii="Arial" w:hAnsi="Arial" w:cs="Arial"/>
        </w:rPr>
        <w:t>s</w:t>
      </w:r>
      <w:r w:rsidRPr="00D008EA">
        <w:rPr>
          <w:rFonts w:ascii="Arial" w:hAnsi="Arial" w:cs="Arial"/>
        </w:rPr>
        <w:t xml:space="preserve"> (including FR1 and FR2). For example, in </w:t>
      </w:r>
      <w:r w:rsidRPr="00C0763E">
        <w:rPr>
          <w:rFonts w:ascii="Arial" w:hAnsi="Arial" w:cs="Arial"/>
          <w:i/>
          <w:iCs/>
        </w:rPr>
        <w:t>ue-TA-Measurement-r18</w:t>
      </w:r>
      <w:r w:rsidRPr="00D008EA">
        <w:rPr>
          <w:rFonts w:ascii="Arial" w:hAnsi="Arial" w:cs="Arial"/>
        </w:rPr>
        <w:t>, it is not clear whether the configuration of maximum number of candidate cells is based on the source band or target band when LTM switch operation is performed between source band and target band.</w:t>
      </w:r>
    </w:p>
    <w:bookmarkEnd w:id="1"/>
    <w:p w14:paraId="5C0027EC" w14:textId="16668C3D" w:rsidR="003D5233" w:rsidRDefault="003D5233" w:rsidP="009543B9">
      <w:pPr>
        <w:jc w:val="both"/>
        <w:rPr>
          <w:rFonts w:ascii="Arial" w:hAnsi="Arial" w:cs="Arial"/>
        </w:rPr>
      </w:pPr>
      <w:r>
        <w:rPr>
          <w:rFonts w:ascii="Arial" w:hAnsi="Arial" w:cs="Arial"/>
        </w:rPr>
        <w:t xml:space="preserve">Below is list of capabilities where such potential confusion </w:t>
      </w:r>
      <w:r w:rsidR="00195AC1">
        <w:rPr>
          <w:rFonts w:ascii="Arial" w:hAnsi="Arial" w:cs="Arial"/>
        </w:rPr>
        <w:t xml:space="preserve">could </w:t>
      </w:r>
      <w:r w:rsidR="00B04C36">
        <w:rPr>
          <w:rFonts w:ascii="Arial" w:hAnsi="Arial" w:cs="Arial"/>
        </w:rPr>
        <w:t>exist</w:t>
      </w:r>
      <w:r>
        <w:rPr>
          <w:rFonts w:ascii="Arial" w:hAnsi="Arial" w:cs="Arial"/>
        </w:rPr>
        <w:t>.</w:t>
      </w:r>
    </w:p>
    <w:p w14:paraId="78FC3075" w14:textId="4E921832" w:rsidR="003D5233" w:rsidRPr="0035740F" w:rsidRDefault="00992F31" w:rsidP="0035740F">
      <w:pPr>
        <w:pStyle w:val="ListParagraph"/>
        <w:numPr>
          <w:ilvl w:val="0"/>
          <w:numId w:val="47"/>
        </w:numPr>
        <w:jc w:val="both"/>
        <w:rPr>
          <w:rFonts w:ascii="Arial" w:hAnsi="Arial" w:cs="Arial"/>
          <w:sz w:val="20"/>
          <w:szCs w:val="20"/>
        </w:rPr>
      </w:pPr>
      <w:r w:rsidRPr="0035740F">
        <w:rPr>
          <w:rFonts w:ascii="Arial" w:hAnsi="Arial" w:cs="Arial"/>
          <w:sz w:val="20"/>
          <w:szCs w:val="20"/>
        </w:rPr>
        <w:t>ue-TA-Measurement-r18</w:t>
      </w:r>
    </w:p>
    <w:p w14:paraId="4921127B" w14:textId="1AD63F66" w:rsidR="00992F31" w:rsidRPr="0035740F" w:rsidRDefault="000E23F1" w:rsidP="0035740F">
      <w:pPr>
        <w:pStyle w:val="ListParagraph"/>
        <w:numPr>
          <w:ilvl w:val="0"/>
          <w:numId w:val="47"/>
        </w:numPr>
        <w:jc w:val="both"/>
        <w:rPr>
          <w:rFonts w:ascii="Arial" w:hAnsi="Arial" w:cs="Arial"/>
          <w:sz w:val="20"/>
          <w:szCs w:val="20"/>
        </w:rPr>
      </w:pPr>
      <w:r w:rsidRPr="0035740F">
        <w:rPr>
          <w:rFonts w:ascii="Arial" w:hAnsi="Arial" w:cs="Arial"/>
          <w:sz w:val="20"/>
          <w:szCs w:val="20"/>
        </w:rPr>
        <w:t>ltm-BeamIndicationJointTCI-r18</w:t>
      </w:r>
    </w:p>
    <w:p w14:paraId="5CA4A81C" w14:textId="3E0E0876" w:rsidR="000E23F1" w:rsidRPr="0035740F" w:rsidRDefault="00ED5C39" w:rsidP="0035740F">
      <w:pPr>
        <w:pStyle w:val="ListParagraph"/>
        <w:numPr>
          <w:ilvl w:val="0"/>
          <w:numId w:val="47"/>
        </w:numPr>
        <w:jc w:val="both"/>
        <w:rPr>
          <w:rFonts w:ascii="Arial" w:hAnsi="Arial" w:cs="Arial"/>
          <w:sz w:val="20"/>
          <w:szCs w:val="20"/>
        </w:rPr>
      </w:pPr>
      <w:r w:rsidRPr="0035740F">
        <w:rPr>
          <w:rFonts w:ascii="Arial" w:hAnsi="Arial" w:cs="Arial"/>
          <w:sz w:val="20"/>
          <w:szCs w:val="20"/>
        </w:rPr>
        <w:t>ltm-BeamIndicationSeparateTCI-r18</w:t>
      </w:r>
    </w:p>
    <w:p w14:paraId="176D9F52" w14:textId="6837EFE7" w:rsidR="00E74B1B" w:rsidRDefault="00E74B1B" w:rsidP="0035740F">
      <w:pPr>
        <w:pStyle w:val="ListParagraph"/>
        <w:numPr>
          <w:ilvl w:val="0"/>
          <w:numId w:val="47"/>
        </w:numPr>
        <w:jc w:val="both"/>
        <w:rPr>
          <w:rFonts w:ascii="Arial" w:hAnsi="Arial" w:cs="Arial"/>
          <w:sz w:val="20"/>
          <w:szCs w:val="20"/>
        </w:rPr>
      </w:pPr>
      <w:r w:rsidRPr="0035740F">
        <w:rPr>
          <w:rFonts w:ascii="Arial" w:hAnsi="Arial" w:cs="Arial"/>
          <w:sz w:val="20"/>
          <w:szCs w:val="20"/>
        </w:rPr>
        <w:t>rach-EarlyTA-Measurement-r18</w:t>
      </w:r>
    </w:p>
    <w:p w14:paraId="70570074" w14:textId="4402F8E0" w:rsidR="00B04C36" w:rsidRDefault="00B04C36" w:rsidP="0035740F">
      <w:pPr>
        <w:pStyle w:val="ListParagraph"/>
        <w:numPr>
          <w:ilvl w:val="0"/>
          <w:numId w:val="47"/>
        </w:numPr>
        <w:jc w:val="both"/>
        <w:rPr>
          <w:rFonts w:ascii="Arial" w:hAnsi="Arial" w:cs="Arial"/>
          <w:sz w:val="20"/>
          <w:szCs w:val="20"/>
        </w:rPr>
      </w:pPr>
      <w:r w:rsidRPr="00B04C36">
        <w:rPr>
          <w:rFonts w:ascii="Arial" w:hAnsi="Arial" w:cs="Arial"/>
          <w:sz w:val="20"/>
          <w:szCs w:val="20"/>
        </w:rPr>
        <w:t>ltm-MAC-CE-JointTCI-r18</w:t>
      </w:r>
    </w:p>
    <w:p w14:paraId="299B81F4" w14:textId="6E0729C2" w:rsidR="00AB2FB8" w:rsidRDefault="00AB2FB8" w:rsidP="0035740F">
      <w:pPr>
        <w:pStyle w:val="ListParagraph"/>
        <w:numPr>
          <w:ilvl w:val="0"/>
          <w:numId w:val="47"/>
        </w:numPr>
        <w:jc w:val="both"/>
        <w:rPr>
          <w:rFonts w:ascii="Arial" w:hAnsi="Arial" w:cs="Arial"/>
          <w:sz w:val="20"/>
          <w:szCs w:val="20"/>
        </w:rPr>
      </w:pPr>
      <w:r w:rsidRPr="00AB2FB8">
        <w:rPr>
          <w:rFonts w:ascii="Arial" w:hAnsi="Arial" w:cs="Arial"/>
          <w:sz w:val="20"/>
          <w:szCs w:val="20"/>
        </w:rPr>
        <w:t>ltm-MAC-CE-SeparateTCI-r18</w:t>
      </w:r>
    </w:p>
    <w:p w14:paraId="6AEBF824" w14:textId="3FF7183F" w:rsidR="00C0763E" w:rsidRPr="0035740F" w:rsidRDefault="00C0763E" w:rsidP="0035740F">
      <w:pPr>
        <w:pStyle w:val="ListParagraph"/>
        <w:numPr>
          <w:ilvl w:val="0"/>
          <w:numId w:val="47"/>
        </w:numPr>
        <w:jc w:val="both"/>
        <w:rPr>
          <w:rFonts w:ascii="Arial" w:hAnsi="Arial" w:cs="Arial"/>
          <w:sz w:val="20"/>
          <w:szCs w:val="20"/>
        </w:rPr>
      </w:pPr>
      <w:r w:rsidRPr="00C0763E">
        <w:rPr>
          <w:rFonts w:ascii="Arial" w:hAnsi="Arial" w:cs="Arial"/>
          <w:sz w:val="20"/>
          <w:szCs w:val="20"/>
        </w:rPr>
        <w:t>ta-IndicationCellSwitch-r18</w:t>
      </w:r>
    </w:p>
    <w:p w14:paraId="244108AE" w14:textId="77777777" w:rsidR="0035740F" w:rsidRDefault="0035740F" w:rsidP="009543B9">
      <w:pPr>
        <w:jc w:val="both"/>
        <w:rPr>
          <w:rFonts w:ascii="Arial" w:hAnsi="Arial" w:cs="Arial"/>
        </w:rPr>
      </w:pPr>
    </w:p>
    <w:p w14:paraId="2973F857" w14:textId="5C6E45B0" w:rsidR="00C0763E" w:rsidRDefault="00C0763E" w:rsidP="00C0763E">
      <w:pPr>
        <w:jc w:val="both"/>
        <w:rPr>
          <w:rFonts w:ascii="Arial" w:hAnsi="Arial" w:cs="Arial"/>
        </w:rPr>
      </w:pPr>
      <w:bookmarkStart w:id="3" w:name="OLE_LINK4"/>
      <w:r w:rsidRPr="00C0763E">
        <w:rPr>
          <w:rFonts w:ascii="Arial" w:hAnsi="Arial" w:cs="Arial"/>
        </w:rPr>
        <w:t>RAN2 would like to ask whether the per band reporting granularity of the above capabilities should refer to the source band or the target band.</w:t>
      </w:r>
    </w:p>
    <w:bookmarkEnd w:id="2"/>
    <w:bookmarkEnd w:id="3"/>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7B39F00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4" w:name="_Hlk46227635"/>
      <w:r>
        <w:rPr>
          <w:rFonts w:ascii="Arial" w:hAnsi="Arial" w:cs="Arial"/>
          <w:b/>
        </w:rPr>
        <w:t xml:space="preserve"> </w:t>
      </w:r>
      <w:bookmarkEnd w:id="4"/>
      <w:r w:rsidR="00C407FA" w:rsidRPr="00C407FA">
        <w:rPr>
          <w:rFonts w:ascii="Arial" w:eastAsiaTheme="minorEastAsia" w:hAnsi="Arial" w:cs="Arial"/>
          <w:b/>
          <w:lang w:eastAsia="zh-CN"/>
        </w:rPr>
        <w:t>RAN</w:t>
      </w:r>
      <w:r w:rsidR="00DB7D44">
        <w:rPr>
          <w:rFonts w:ascii="Arial" w:eastAsiaTheme="minorEastAsia" w:hAnsi="Arial" w:cs="Arial"/>
          <w:b/>
          <w:lang w:eastAsia="zh-CN"/>
        </w:rPr>
        <w:t>1</w:t>
      </w:r>
    </w:p>
    <w:p w14:paraId="0C36D19F" w14:textId="79A1AF06"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kindly asks RAN1 to provide feedback</w:t>
      </w:r>
      <w:r w:rsidR="002F3A37">
        <w:rPr>
          <w:rFonts w:ascii="Arial" w:hAnsi="Arial" w:cs="Arial"/>
          <w:color w:val="000000"/>
        </w:rPr>
        <w:t xml:space="preserve"> on the above question</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272E2E0" w14:textId="47377A11" w:rsidR="00977F8E" w:rsidRDefault="0050400B" w:rsidP="00553880">
      <w:pPr>
        <w:tabs>
          <w:tab w:val="left" w:pos="2127"/>
          <w:tab w:val="left" w:pos="6096"/>
        </w:tabs>
        <w:spacing w:after="120"/>
        <w:rPr>
          <w:rFonts w:ascii="Arial" w:eastAsia="SimSun" w:hAnsi="Arial" w:cs="Arial"/>
          <w:bCs/>
        </w:rPr>
      </w:pPr>
      <w:r w:rsidRPr="00657F8B">
        <w:rPr>
          <w:rFonts w:ascii="Arial" w:eastAsia="SimSun" w:hAnsi="Arial" w:cs="Arial"/>
          <w:bCs/>
        </w:rPr>
        <w:lastRenderedPageBreak/>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522AE85D" w14:textId="7FDA749C" w:rsidR="00DB7D44" w:rsidRPr="001138E5"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sectPr w:rsidR="00DB7D44"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C65A6" w14:textId="77777777" w:rsidR="00031E80" w:rsidRDefault="00031E80" w:rsidP="00EE7A47">
      <w:pPr>
        <w:spacing w:after="0"/>
      </w:pPr>
      <w:r>
        <w:separator/>
      </w:r>
    </w:p>
  </w:endnote>
  <w:endnote w:type="continuationSeparator" w:id="0">
    <w:p w14:paraId="0AA21196" w14:textId="77777777" w:rsidR="00031E80" w:rsidRDefault="00031E80" w:rsidP="00EE7A47">
      <w:pPr>
        <w:spacing w:after="0"/>
      </w:pPr>
      <w:r>
        <w:continuationSeparator/>
      </w:r>
    </w:p>
  </w:endnote>
  <w:endnote w:type="continuationNotice" w:id="1">
    <w:p w14:paraId="5D6B39A9" w14:textId="77777777" w:rsidR="00031E80" w:rsidRDefault="00031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890B6" w14:textId="77777777" w:rsidR="00031E80" w:rsidRDefault="00031E80" w:rsidP="00EE7A47">
      <w:pPr>
        <w:spacing w:after="0"/>
      </w:pPr>
      <w:r>
        <w:separator/>
      </w:r>
    </w:p>
  </w:footnote>
  <w:footnote w:type="continuationSeparator" w:id="0">
    <w:p w14:paraId="4E6ACC19" w14:textId="77777777" w:rsidR="00031E80" w:rsidRDefault="00031E80" w:rsidP="00EE7A47">
      <w:pPr>
        <w:spacing w:after="0"/>
      </w:pPr>
      <w:r>
        <w:continuationSeparator/>
      </w:r>
    </w:p>
  </w:footnote>
  <w:footnote w:type="continuationNotice" w:id="1">
    <w:p w14:paraId="08E0E982" w14:textId="77777777" w:rsidR="00031E80" w:rsidRDefault="00031E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54A"/>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shresth@qti.qualcomm.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Bharat-QC-2</cp:lastModifiedBy>
  <cp:revision>5</cp:revision>
  <dcterms:created xsi:type="dcterms:W3CDTF">2024-11-22T16:57:00Z</dcterms:created>
  <dcterms:modified xsi:type="dcterms:W3CDTF">2024-11-22T17:13:00Z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